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ＭＳ 明朝" w:hAnsi="ＭＳ 明朝" w:eastAsia="ＭＳ 明朝"/>
          <w:b w:val="1"/>
          <w:color w:val="000000" w:themeColor="text1"/>
          <w:sz w:val="24"/>
        </w:rPr>
      </w:pPr>
      <w:bookmarkStart w:id="0" w:name="_Hlk202369783"/>
      <w:r>
        <w:rPr>
          <w:rFonts w:hint="eastAsia" w:ascii="ＭＳ 明朝" w:hAnsi="ＭＳ 明朝" w:eastAsia="ＭＳ 明朝"/>
          <w:b w:val="1"/>
          <w:color w:val="000000" w:themeColor="text1"/>
          <w:sz w:val="28"/>
        </w:rPr>
        <w:t>戸籍総合システム・ブックレス　クラウドサービス機器リース</w:t>
      </w:r>
      <w:r>
        <w:rPr>
          <w:rFonts w:hint="eastAsia" w:ascii="ＭＳ 明朝" w:hAnsi="ＭＳ 明朝" w:eastAsia="ＭＳ 明朝"/>
          <w:b w:val="1"/>
          <w:color w:val="000000" w:themeColor="text1"/>
          <w:sz w:val="28"/>
        </w:rPr>
        <w:t xml:space="preserve">  </w:t>
      </w:r>
      <w:r>
        <w:rPr>
          <w:rFonts w:hint="eastAsia" w:ascii="ＭＳ 明朝" w:hAnsi="ＭＳ 明朝" w:eastAsia="ＭＳ 明朝"/>
          <w:b w:val="1"/>
          <w:color w:val="000000" w:themeColor="text1"/>
          <w:sz w:val="28"/>
        </w:rPr>
        <w:t>契約書</w:t>
      </w:r>
    </w:p>
    <w:p>
      <w:pPr>
        <w:pStyle w:val="0"/>
        <w:tabs>
          <w:tab w:val="right" w:leader="none" w:pos="-3105"/>
          <w:tab w:val="left" w:leader="none" w:pos="1840"/>
        </w:tabs>
        <w:rPr>
          <w:rFonts w:hint="eastAsia" w:ascii="ＭＳ 明朝" w:hAnsi="ＭＳ 明朝" w:eastAsia="ＭＳ 明朝"/>
          <w:sz w:val="24"/>
        </w:rPr>
      </w:pPr>
      <w:bookmarkEnd w:id="0"/>
    </w:p>
    <w:p>
      <w:pPr>
        <w:pStyle w:val="0"/>
        <w:tabs>
          <w:tab w:val="right" w:leader="none" w:pos="-3105"/>
          <w:tab w:val="left" w:leader="none" w:pos="1840"/>
        </w:tabs>
        <w:rPr>
          <w:rFonts w:hint="eastAsia" w:ascii="ＭＳ 明朝" w:hAnsi="ＭＳ 明朝" w:eastAsia="ＭＳ 明朝"/>
          <w:sz w:val="24"/>
        </w:rPr>
      </w:pPr>
    </w:p>
    <w:p>
      <w:pPr>
        <w:pStyle w:val="0"/>
        <w:tabs>
          <w:tab w:val="right" w:leader="none" w:pos="-3105"/>
          <w:tab w:val="left" w:leader="none" w:pos="1840"/>
        </w:tabs>
        <w:ind w:left="1526" w:hanging="1526" w:hangingChars="700"/>
        <w:rPr>
          <w:rFonts w:hint="eastAsia" w:ascii="ＭＳ 明朝" w:hAnsi="ＭＳ 明朝" w:eastAsia="ＭＳ 明朝"/>
          <w:sz w:val="24"/>
        </w:rPr>
      </w:pPr>
      <w:r>
        <w:rPr>
          <w:rFonts w:hint="eastAsia" w:ascii="ＭＳ 明朝" w:hAnsi="ＭＳ 明朝" w:eastAsia="ＭＳ 明朝"/>
          <w:sz w:val="24"/>
        </w:rPr>
        <w:t>　標記のファイナンス・リース契約について、五所川原市（以下「発注者」という。）と</w:t>
      </w:r>
    </w:p>
    <w:p>
      <w:pPr>
        <w:pStyle w:val="0"/>
        <w:tabs>
          <w:tab w:val="right" w:leader="none" w:pos="-3105"/>
          <w:tab w:val="left" w:leader="none" w:pos="1840"/>
        </w:tabs>
        <w:ind w:left="0" w:leftChars="0" w:firstLine="0" w:firstLineChars="0"/>
        <w:rPr>
          <w:rFonts w:hint="eastAsia" w:ascii="ＭＳ 明朝" w:hAnsi="ＭＳ 明朝" w:eastAsia="ＭＳ 明朝"/>
          <w:sz w:val="24"/>
        </w:rPr>
      </w:pPr>
      <w:r>
        <w:rPr>
          <w:rFonts w:hint="eastAsia" w:ascii="ＭＳ 明朝" w:hAnsi="ＭＳ 明朝" w:eastAsia="ＭＳ 明朝"/>
          <w:sz w:val="24"/>
          <w:u w:val="single" w:color="auto"/>
        </w:rPr>
        <w:t>　　　　　　　　　　（</w:t>
      </w:r>
      <w:r>
        <w:rPr>
          <w:rFonts w:hint="eastAsia" w:ascii="ＭＳ 明朝" w:hAnsi="ＭＳ 明朝" w:eastAsia="ＭＳ 明朝"/>
          <w:sz w:val="24"/>
        </w:rPr>
        <w:t>以下「受注者」という。）は、別添の約款条項に基づき、次のとおり契約する。</w:t>
      </w:r>
    </w:p>
    <w:p>
      <w:pPr>
        <w:pStyle w:val="0"/>
        <w:tabs>
          <w:tab w:val="right" w:leader="none" w:pos="-3105"/>
          <w:tab w:val="left" w:leader="none" w:pos="1840"/>
        </w:tabs>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z w:val="24"/>
        </w:rPr>
        <w:t>１　</w:t>
      </w:r>
      <w:r>
        <w:rPr>
          <w:rFonts w:hint="eastAsia" w:ascii="ＭＳ 明朝" w:hAnsi="ＭＳ 明朝" w:eastAsia="ＭＳ 明朝"/>
          <w:spacing w:val="39"/>
          <w:sz w:val="24"/>
          <w:fitText w:val="1199" w:id="1"/>
        </w:rPr>
        <w:t>業務番</w:t>
      </w:r>
      <w:r>
        <w:rPr>
          <w:rFonts w:hint="eastAsia" w:ascii="ＭＳ 明朝" w:hAnsi="ＭＳ 明朝" w:eastAsia="ＭＳ 明朝"/>
          <w:spacing w:val="2"/>
          <w:sz w:val="24"/>
          <w:fitText w:val="1199" w:id="1"/>
        </w:rPr>
        <w:t>号</w:t>
      </w:r>
      <w:r>
        <w:rPr>
          <w:rFonts w:hint="eastAsia" w:ascii="ＭＳ 明朝" w:hAnsi="ＭＳ 明朝" w:eastAsia="ＭＳ 明朝"/>
          <w:sz w:val="24"/>
        </w:rPr>
        <w:t>　　　五市リ第１号</w:t>
      </w:r>
    </w:p>
    <w:p>
      <w:pPr>
        <w:pStyle w:val="0"/>
        <w:tabs>
          <w:tab w:val="right" w:leader="none" w:pos="-3105"/>
          <w:tab w:val="left" w:leader="none" w:pos="1840"/>
        </w:tabs>
        <w:rPr>
          <w:rFonts w:hint="eastAsia" w:ascii="ＭＳ 明朝" w:hAnsi="ＭＳ 明朝" w:eastAsia="ＭＳ 明朝"/>
          <w:sz w:val="24"/>
        </w:rPr>
      </w:pPr>
    </w:p>
    <w:p>
      <w:pPr>
        <w:pStyle w:val="0"/>
        <w:tabs>
          <w:tab w:val="right" w:leader="none" w:pos="-3105"/>
          <w:tab w:val="left" w:leader="none" w:pos="1840"/>
        </w:tabs>
        <w:rPr>
          <w:rFonts w:hint="eastAsia" w:ascii="ＭＳ 明朝" w:hAnsi="ＭＳ 明朝" w:eastAsia="ＭＳ 明朝"/>
          <w:sz w:val="24"/>
        </w:rPr>
      </w:pPr>
      <w:r>
        <w:rPr>
          <w:rFonts w:hint="eastAsia" w:ascii="ＭＳ 明朝" w:hAnsi="ＭＳ 明朝" w:eastAsia="ＭＳ 明朝"/>
          <w:sz w:val="24"/>
        </w:rPr>
        <w:t>２　件　　　名　　　戸籍総合システム・ブックレス　クラウドサービス機器リース</w:t>
      </w:r>
    </w:p>
    <w:p>
      <w:pPr>
        <w:pStyle w:val="0"/>
        <w:jc w:val="distribute"/>
        <w:rPr>
          <w:rFonts w:hint="eastAsia" w:ascii="ＭＳ 明朝" w:hAnsi="ＭＳ 明朝" w:eastAsia="ＭＳ 明朝"/>
          <w:sz w:val="24"/>
        </w:rPr>
      </w:pPr>
    </w:p>
    <w:p>
      <w:pPr>
        <w:pStyle w:val="0"/>
        <w:tabs>
          <w:tab w:val="left" w:leader="none" w:pos="6240"/>
        </w:tabs>
        <w:ind w:left="2180" w:right="216" w:rightChars="0" w:hanging="2180" w:hangingChars="1000"/>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３　リース物品</w:t>
      </w:r>
      <w:r>
        <w:rPr>
          <w:rFonts w:hint="eastAsia" w:ascii="ＭＳ 明朝" w:hAnsi="ＭＳ 明朝" w:eastAsia="ＭＳ 明朝"/>
          <w:color w:val="000000" w:themeColor="text1"/>
          <w:sz w:val="24"/>
        </w:rPr>
        <w:t xml:space="preserve">    </w:t>
      </w:r>
      <w:r>
        <w:rPr>
          <w:rFonts w:hint="eastAsia" w:ascii="ＭＳ 明朝" w:hAnsi="ＭＳ 明朝" w:eastAsia="ＭＳ 明朝"/>
          <w:color w:val="000000" w:themeColor="text1"/>
          <w:sz w:val="24"/>
        </w:rPr>
        <w:t>　五所川原市が別途契約する戸籍総合システム・ブックレス　クラウドサービスで使用するパソコン及び周辺機器</w:t>
      </w:r>
    </w:p>
    <w:p>
      <w:pPr>
        <w:pStyle w:val="0"/>
        <w:tabs>
          <w:tab w:val="left" w:leader="none" w:pos="6240"/>
        </w:tabs>
        <w:ind w:right="216"/>
        <w:rPr>
          <w:rFonts w:hint="eastAsia" w:ascii="ＭＳ 明朝" w:hAnsi="ＭＳ 明朝" w:eastAsia="ＭＳ 明朝"/>
          <w:color w:val="000000" w:themeColor="text1"/>
          <w:sz w:val="24"/>
        </w:rPr>
      </w:pPr>
    </w:p>
    <w:p>
      <w:pPr>
        <w:pStyle w:val="0"/>
        <w:tabs>
          <w:tab w:val="left" w:leader="none" w:pos="6240"/>
        </w:tabs>
        <w:ind w:right="216"/>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４　リース物品　　　五所川原市民生部市民課、五所川原市総務部デジタル行政推進課、</w:t>
      </w:r>
    </w:p>
    <w:p>
      <w:pPr>
        <w:pStyle w:val="0"/>
        <w:tabs>
          <w:tab w:val="left" w:leader="none" w:pos="6240"/>
        </w:tabs>
        <w:ind w:leftChars="0" w:right="216" w:rightChars="0" w:firstLine="477" w:firstLineChars="219"/>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の設置場所　　金木総合支所、市浦総合支所</w:t>
      </w:r>
    </w:p>
    <w:p>
      <w:pPr>
        <w:pStyle w:val="0"/>
        <w:tabs>
          <w:tab w:val="left" w:leader="none" w:pos="6240"/>
        </w:tabs>
        <w:ind w:right="216"/>
        <w:rPr>
          <w:rFonts w:hint="eastAsia" w:ascii="ＭＳ 明朝" w:hAnsi="ＭＳ 明朝" w:eastAsia="ＭＳ 明朝"/>
          <w:color w:val="000000" w:themeColor="text1"/>
          <w:sz w:val="24"/>
        </w:rPr>
      </w:pPr>
    </w:p>
    <w:p>
      <w:pPr>
        <w:pStyle w:val="0"/>
        <w:tabs>
          <w:tab w:val="left" w:leader="none" w:pos="6240"/>
        </w:tabs>
        <w:ind w:right="216"/>
        <w:rPr>
          <w:rFonts w:hint="eastAsia" w:ascii="ＭＳ 明朝" w:hAnsi="ＭＳ 明朝" w:eastAsia="ＭＳ 明朝"/>
          <w:color w:val="000000" w:themeColor="text1"/>
          <w:sz w:val="24"/>
        </w:rPr>
      </w:pPr>
      <w:r>
        <w:rPr>
          <w:rFonts w:hint="eastAsia" w:ascii="ＭＳ 明朝" w:hAnsi="ＭＳ 明朝" w:eastAsia="ＭＳ 明朝"/>
          <w:sz w:val="24"/>
        </w:rPr>
        <w:t>５　</w:t>
      </w:r>
      <w:r>
        <w:rPr>
          <w:rFonts w:hint="eastAsia" w:ascii="ＭＳ 明朝" w:hAnsi="ＭＳ 明朝" w:eastAsia="ＭＳ 明朝"/>
          <w:spacing w:val="39"/>
          <w:sz w:val="24"/>
          <w:fitText w:val="1199" w:id="2"/>
        </w:rPr>
        <w:t>契約金</w:t>
      </w:r>
      <w:r>
        <w:rPr>
          <w:rFonts w:hint="eastAsia" w:ascii="ＭＳ 明朝" w:hAnsi="ＭＳ 明朝" w:eastAsia="ＭＳ 明朝"/>
          <w:spacing w:val="2"/>
          <w:sz w:val="24"/>
          <w:fitText w:val="1199" w:id="2"/>
        </w:rPr>
        <w:t>額</w:t>
      </w:r>
      <w:r>
        <w:rPr>
          <w:rFonts w:hint="eastAsia" w:ascii="ＭＳ 明朝" w:hAnsi="ＭＳ 明朝" w:eastAsia="ＭＳ 明朝"/>
          <w:sz w:val="24"/>
        </w:rPr>
        <w:t>　　　</w:t>
      </w:r>
      <w:r>
        <w:rPr>
          <w:rFonts w:hint="eastAsia" w:ascii="ＭＳ 明朝" w:hAnsi="ＭＳ 明朝" w:eastAsia="ＭＳ 明朝"/>
          <w:sz w:val="24"/>
          <w:highlight w:val="none"/>
          <w:u w:val="single" w:color="auto"/>
        </w:rPr>
        <w:t>￥　　　　　　　　　　円</w:t>
      </w:r>
      <w:r>
        <w:rPr>
          <w:rFonts w:hint="eastAsia" w:ascii="ＭＳ 明朝" w:hAnsi="ＭＳ 明朝" w:eastAsia="ＭＳ 明朝"/>
          <w:color w:val="000000" w:themeColor="text1"/>
          <w:sz w:val="24"/>
        </w:rPr>
        <w:t>（内消費税等　</w:t>
      </w:r>
      <w:r>
        <w:rPr>
          <w:rFonts w:hint="eastAsia" w:ascii="ＭＳ 明朝" w:hAnsi="ＭＳ 明朝" w:eastAsia="ＭＳ 明朝"/>
          <w:color w:val="000000" w:themeColor="text1"/>
          <w:sz w:val="24"/>
          <w:highlight w:val="none"/>
          <w:u w:val="single" w:color="auto"/>
        </w:rPr>
        <w:t>￥　　　　　　　円</w:t>
      </w:r>
      <w:r>
        <w:rPr>
          <w:rFonts w:hint="eastAsia" w:ascii="ＭＳ 明朝" w:hAnsi="ＭＳ 明朝" w:eastAsia="ＭＳ 明朝"/>
          <w:color w:val="000000" w:themeColor="text1"/>
          <w:sz w:val="24"/>
        </w:rPr>
        <w:t>）</w:t>
      </w:r>
    </w:p>
    <w:p>
      <w:pPr>
        <w:pStyle w:val="0"/>
        <w:rPr>
          <w:rFonts w:hint="eastAsia" w:ascii="ＭＳ 明朝" w:hAnsi="ＭＳ 明朝" w:eastAsia="ＭＳ 明朝"/>
          <w:sz w:val="24"/>
        </w:rPr>
      </w:pPr>
    </w:p>
    <w:p>
      <w:pPr>
        <w:pStyle w:val="0"/>
        <w:rPr>
          <w:rFonts w:hint="eastAsia" w:ascii="ＭＳ 明朝" w:hAnsi="ＭＳ 明朝" w:eastAsia="ＭＳ 明朝"/>
          <w:color w:val="000000" w:themeColor="text1"/>
          <w:sz w:val="24"/>
        </w:rPr>
      </w:pPr>
      <w:r>
        <w:rPr>
          <w:rFonts w:hint="eastAsia" w:ascii="ＭＳ 明朝" w:hAnsi="ＭＳ 明朝" w:eastAsia="ＭＳ 明朝"/>
          <w:sz w:val="24"/>
        </w:rPr>
        <w:t>６　</w:t>
      </w:r>
      <w:r>
        <w:rPr>
          <w:rFonts w:hint="eastAsia" w:ascii="ＭＳ 明朝" w:hAnsi="ＭＳ 明朝" w:eastAsia="ＭＳ 明朝"/>
          <w:spacing w:val="39"/>
          <w:sz w:val="24"/>
          <w:fitText w:val="1199" w:id="3"/>
        </w:rPr>
        <w:t>履行期</w:t>
      </w:r>
      <w:r>
        <w:rPr>
          <w:rFonts w:hint="eastAsia" w:ascii="ＭＳ 明朝" w:hAnsi="ＭＳ 明朝" w:eastAsia="ＭＳ 明朝"/>
          <w:spacing w:val="2"/>
          <w:sz w:val="24"/>
          <w:fitText w:val="1199" w:id="3"/>
        </w:rPr>
        <w:t>間</w:t>
      </w:r>
      <w:r>
        <w:rPr>
          <w:rFonts w:hint="eastAsia" w:ascii="ＭＳ 明朝" w:hAnsi="ＭＳ 明朝" w:eastAsia="ＭＳ 明朝"/>
          <w:sz w:val="24"/>
        </w:rPr>
        <w:t>　　　令和８年１２月１日</w:t>
      </w:r>
      <w:r>
        <w:rPr>
          <w:rFonts w:hint="eastAsia" w:ascii="ＭＳ 明朝" w:hAnsi="ＭＳ 明朝" w:eastAsia="ＭＳ 明朝"/>
          <w:color w:val="000000" w:themeColor="text1"/>
          <w:sz w:val="24"/>
        </w:rPr>
        <w:t>から令和１３年１１月３０日まで</w:t>
      </w:r>
    </w:p>
    <w:p>
      <w:pPr>
        <w:pStyle w:val="0"/>
        <w:rPr>
          <w:rFonts w:hint="eastAsia" w:ascii="ＭＳ 明朝" w:hAnsi="ＭＳ 明朝" w:eastAsia="ＭＳ 明朝"/>
          <w:sz w:val="24"/>
        </w:rPr>
      </w:pPr>
    </w:p>
    <w:p>
      <w:pPr>
        <w:pStyle w:val="0"/>
        <w:ind w:left="0" w:leftChars="0" w:hanging="2180" w:hangingChars="1000"/>
        <w:rPr>
          <w:rFonts w:hint="eastAsia" w:ascii="ＭＳ 明朝" w:hAnsi="ＭＳ 明朝" w:eastAsia="ＭＳ 明朝"/>
          <w:sz w:val="24"/>
        </w:rPr>
      </w:pPr>
      <w:r>
        <w:rPr>
          <w:rFonts w:hint="eastAsia" w:ascii="ＭＳ 明朝" w:hAnsi="ＭＳ 明朝" w:eastAsia="ＭＳ 明朝"/>
          <w:sz w:val="24"/>
        </w:rPr>
        <w:t>７　契約保証金　　　五所川原市契約事務規則（平成１７年五所川原市規則第５３号）第３３条第１項</w:t>
      </w:r>
      <w:r>
        <w:rPr>
          <w:rFonts w:hint="eastAsia" w:ascii="ＭＳ 明朝" w:hAnsi="ＭＳ 明朝" w:eastAsia="ＭＳ 明朝"/>
          <w:sz w:val="24"/>
          <w:highlight w:val="none"/>
          <w:u w:val="single" w:color="auto"/>
        </w:rPr>
        <w:t>第　号</w:t>
      </w:r>
      <w:r>
        <w:rPr>
          <w:rFonts w:hint="eastAsia" w:ascii="ＭＳ 明朝" w:hAnsi="ＭＳ 明朝" w:eastAsia="ＭＳ 明朝"/>
          <w:sz w:val="24"/>
        </w:rPr>
        <w:t>の規定により免除</w:t>
      </w:r>
    </w:p>
    <w:p>
      <w:pPr>
        <w:pStyle w:val="0"/>
        <w:ind w:left="1962" w:hanging="1962" w:hangingChars="900"/>
        <w:rPr>
          <w:rFonts w:hint="eastAsia" w:ascii="ＭＳ 明朝" w:hAnsi="ＭＳ 明朝" w:eastAsia="ＭＳ 明朝"/>
          <w:sz w:val="24"/>
        </w:rPr>
      </w:pPr>
    </w:p>
    <w:p>
      <w:pPr>
        <w:pStyle w:val="0"/>
        <w:ind w:left="2180" w:right="46" w:rightChars="0" w:hanging="2180" w:hangingChars="1000"/>
        <w:rPr>
          <w:rFonts w:hint="eastAsia" w:ascii="ＭＳ 明朝" w:hAnsi="ＭＳ 明朝" w:eastAsia="ＭＳ 明朝"/>
          <w:sz w:val="24"/>
        </w:rPr>
      </w:pPr>
      <w:r>
        <w:rPr>
          <w:rFonts w:hint="eastAsia" w:ascii="ＭＳ 明朝" w:hAnsi="ＭＳ 明朝" w:eastAsia="ＭＳ 明朝"/>
          <w:sz w:val="24"/>
        </w:rPr>
        <w:t>７　そ　の　他　　　この契約は、地方自治法（昭和２２年法律第６７号）第２３４条の３の規定による長期継続契約であるため、この契約の給付初年度の翌年度以降において、当該契約に係る発注者の歳出予算において減額又は削除があった場合、発注者は、この契約を変更し、又は解除することができる。</w:t>
      </w:r>
    </w:p>
    <w:p>
      <w:pPr>
        <w:pStyle w:val="0"/>
        <w:ind w:right="46"/>
        <w:rPr>
          <w:rFonts w:hint="eastAsia" w:ascii="ＭＳ 明朝" w:hAnsi="ＭＳ 明朝" w:eastAsia="ＭＳ 明朝"/>
          <w:sz w:val="24"/>
        </w:rPr>
      </w:pPr>
    </w:p>
    <w:p>
      <w:pPr>
        <w:pStyle w:val="0"/>
        <w:ind w:left="-20" w:leftChars="0" w:right="46" w:rightChars="0" w:firstLine="218" w:firstLineChars="100"/>
        <w:rPr>
          <w:rFonts w:hint="eastAsia" w:ascii="ＭＳ 明朝" w:hAnsi="ＭＳ 明朝" w:eastAsia="ＭＳ 明朝"/>
          <w:sz w:val="24"/>
        </w:rPr>
      </w:pPr>
      <w:bookmarkStart w:id="1" w:name="OLE_LINK2"/>
      <w:r>
        <w:rPr>
          <w:rFonts w:hint="eastAsia" w:ascii="ＭＳ 明朝" w:hAnsi="ＭＳ 明朝" w:eastAsia="ＭＳ 明朝"/>
          <w:sz w:val="24"/>
        </w:rPr>
        <w:t>本契約の締結を証するため、本書２通を作成し、当事者双方記名押印のうえ、各１通を保有するものとする。</w:t>
      </w:r>
    </w:p>
    <w:p>
      <w:pPr>
        <w:pStyle w:val="0"/>
        <w:ind w:right="46"/>
        <w:rPr>
          <w:rFonts w:hint="eastAsia" w:ascii="ＭＳ 明朝" w:hAnsi="ＭＳ 明朝" w:eastAsia="ＭＳ 明朝"/>
          <w:sz w:val="24"/>
        </w:rPr>
      </w:pPr>
      <w:bookmarkEnd w:id="1"/>
    </w:p>
    <w:p>
      <w:pPr>
        <w:pStyle w:val="0"/>
        <w:ind w:right="46"/>
        <w:rPr>
          <w:rFonts w:hint="eastAsia" w:ascii="ＭＳ 明朝" w:hAnsi="ＭＳ 明朝" w:eastAsia="ＭＳ 明朝"/>
          <w:sz w:val="24"/>
        </w:rPr>
      </w:pPr>
    </w:p>
    <w:p>
      <w:pPr>
        <w:pStyle w:val="0"/>
        <w:tabs>
          <w:tab w:val="left" w:leader="none" w:pos="-3402"/>
          <w:tab w:val="right" w:leader="none" w:pos="-3261"/>
          <w:tab w:val="left" w:leader="none" w:pos="-2694"/>
        </w:tabs>
        <w:ind w:firstLine="654" w:firstLineChars="300"/>
        <w:jc w:val="left"/>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令和８年　　月　　日</w:t>
      </w:r>
    </w:p>
    <w:p>
      <w:pPr>
        <w:pStyle w:val="0"/>
        <w:rPr>
          <w:rFonts w:hint="eastAsia" w:ascii="ＭＳ 明朝" w:hAnsi="ＭＳ 明朝" w:eastAsia="ＭＳ 明朝"/>
          <w:color w:val="FF6600"/>
          <w:sz w:val="24"/>
        </w:rPr>
      </w:pPr>
      <w:r>
        <w:rPr>
          <w:rFonts w:hint="eastAsia" w:ascii="ＭＳ 明朝" w:hAnsi="ＭＳ 明朝" w:eastAsia="ＭＳ 明朝"/>
          <w:color w:val="FF6600"/>
          <w:sz w:val="24"/>
        </w:rPr>
        <w:t>　　　　　　　　　　　　　　　　　　　</w:t>
      </w:r>
    </w:p>
    <w:p>
      <w:pPr>
        <w:pStyle w:val="0"/>
        <w:ind w:firstLine="2398" w:firstLineChars="1100"/>
        <w:rPr>
          <w:rFonts w:hint="eastAsia" w:ascii="ＭＳ 明朝" w:hAnsi="ＭＳ 明朝" w:eastAsia="ＭＳ 明朝"/>
          <w:color w:val="FF6600"/>
          <w:sz w:val="24"/>
        </w:rPr>
      </w:pPr>
      <w:r>
        <w:rPr>
          <w:rFonts w:hint="eastAsia" w:ascii="ＭＳ 明朝" w:hAnsi="ＭＳ 明朝" w:eastAsia="ＭＳ 明朝"/>
          <w:color w:val="000000" w:themeColor="text1"/>
          <w:sz w:val="24"/>
        </w:rPr>
        <w:t>発注者　　</w:t>
      </w:r>
      <w:r>
        <w:rPr>
          <w:rFonts w:hint="eastAsia" w:ascii="ＭＳ 明朝" w:hAnsi="ＭＳ 明朝" w:eastAsia="ＭＳ 明朝"/>
          <w:sz w:val="24"/>
        </w:rPr>
        <w:t>青森県五所川原市字布屋町４１番地１</w:t>
      </w:r>
    </w:p>
    <w:p>
      <w:pPr>
        <w:pStyle w:val="0"/>
        <w:tabs>
          <w:tab w:val="left" w:leader="none" w:pos="-3402"/>
          <w:tab w:val="right" w:leader="none" w:pos="-3261"/>
          <w:tab w:val="left" w:leader="none" w:pos="-2694"/>
        </w:tabs>
        <w:spacing w:line="320" w:lineRule="exact"/>
        <w:ind w:left="0" w:leftChars="0" w:right="198" w:rightChars="100" w:firstLine="3597" w:firstLineChars="1650"/>
        <w:jc w:val="left"/>
        <w:rPr>
          <w:rFonts w:hint="eastAsia" w:ascii="ＭＳ 明朝" w:hAnsi="ＭＳ 明朝" w:eastAsia="ＭＳ 明朝"/>
          <w:color w:val="FF6600"/>
          <w:sz w:val="24"/>
        </w:rPr>
      </w:pPr>
      <w:r>
        <w:rPr>
          <w:rFonts w:hint="eastAsia" w:ascii="ＭＳ 明朝" w:hAnsi="ＭＳ 明朝" w:eastAsia="ＭＳ 明朝"/>
          <w:sz w:val="24"/>
        </w:rPr>
        <w:t>五所川原市長　　佐</w:t>
      </w:r>
      <w:r>
        <w:rPr>
          <w:rFonts w:hint="eastAsia" w:ascii="ＭＳ 明朝" w:hAnsi="ＭＳ 明朝" w:eastAsia="ＭＳ 明朝"/>
          <w:sz w:val="24"/>
        </w:rPr>
        <w:t xml:space="preserve"> </w:t>
      </w:r>
      <w:r>
        <w:rPr>
          <w:rFonts w:hint="eastAsia" w:ascii="ＭＳ 明朝" w:hAnsi="ＭＳ 明朝" w:eastAsia="ＭＳ 明朝"/>
          <w:sz w:val="24"/>
        </w:rPr>
        <w:t>々</w:t>
      </w:r>
      <w:r>
        <w:rPr>
          <w:rFonts w:hint="eastAsia" w:ascii="ＭＳ 明朝" w:hAnsi="ＭＳ 明朝" w:eastAsia="ＭＳ 明朝"/>
          <w:sz w:val="24"/>
        </w:rPr>
        <w:t xml:space="preserve"> </w:t>
      </w:r>
      <w:r>
        <w:rPr>
          <w:rFonts w:hint="eastAsia" w:ascii="ＭＳ 明朝" w:hAnsi="ＭＳ 明朝" w:eastAsia="ＭＳ 明朝"/>
          <w:sz w:val="24"/>
        </w:rPr>
        <w:t>木　孝</w:t>
      </w:r>
      <w:r>
        <w:rPr>
          <w:rFonts w:hint="eastAsia" w:ascii="ＭＳ 明朝" w:hAnsi="ＭＳ 明朝" w:eastAsia="ＭＳ 明朝"/>
          <w:sz w:val="24"/>
        </w:rPr>
        <w:t xml:space="preserve"> </w:t>
      </w:r>
      <w:r>
        <w:rPr>
          <w:rFonts w:hint="eastAsia" w:ascii="ＭＳ 明朝" w:hAnsi="ＭＳ 明朝" w:eastAsia="ＭＳ 明朝"/>
          <w:sz w:val="24"/>
        </w:rPr>
        <w:t>昌</w:t>
      </w:r>
    </w:p>
    <w:p>
      <w:pPr>
        <w:pStyle w:val="0"/>
        <w:rPr>
          <w:rFonts w:hint="eastAsia" w:ascii="ＭＳ 明朝" w:hAnsi="ＭＳ 明朝" w:eastAsia="ＭＳ 明朝"/>
          <w:color w:val="FF6600"/>
          <w:sz w:val="24"/>
        </w:rPr>
      </w:pPr>
      <w:r>
        <w:rPr>
          <w:rFonts w:hint="eastAsia" w:ascii="ＭＳ 明朝" w:hAnsi="ＭＳ 明朝" w:eastAsia="ＭＳ 明朝"/>
          <w:color w:val="FF6600"/>
          <w:sz w:val="24"/>
        </w:rPr>
        <w:t>　　　　　　　　　　　　　　　　　　　</w:t>
      </w:r>
    </w:p>
    <w:p>
      <w:pPr>
        <w:pStyle w:val="0"/>
        <w:rPr>
          <w:rFonts w:hint="eastAsia" w:ascii="ＭＳ 明朝" w:hAnsi="ＭＳ 明朝" w:eastAsia="ＭＳ 明朝"/>
          <w:color w:val="000000" w:themeColor="text1"/>
          <w:sz w:val="24"/>
        </w:rPr>
      </w:pPr>
    </w:p>
    <w:p>
      <w:pPr>
        <w:pStyle w:val="0"/>
        <w:ind w:firstLine="2398" w:firstLineChars="1100"/>
        <w:rPr>
          <w:rFonts w:hint="eastAsia" w:ascii="ＭＳ 明朝" w:hAnsi="ＭＳ 明朝" w:eastAsia="ＭＳ 明朝"/>
          <w:color w:val="000000"/>
          <w:sz w:val="24"/>
        </w:rPr>
      </w:pPr>
      <w:r>
        <w:rPr>
          <w:rFonts w:hint="eastAsia" w:ascii="ＭＳ 明朝" w:hAnsi="ＭＳ 明朝" w:eastAsia="ＭＳ 明朝"/>
          <w:color w:val="000000" w:themeColor="text1"/>
          <w:sz w:val="24"/>
        </w:rPr>
        <w:t>受注者　　</w:t>
      </w:r>
      <w:r>
        <w:rPr>
          <w:rFonts w:hint="eastAsia" w:ascii="ＭＳ 明朝" w:hAnsi="ＭＳ 明朝" w:eastAsia="ＭＳ 明朝"/>
          <w:sz w:val="24"/>
        </w:rPr>
        <w:br w:type="page"/>
      </w:r>
    </w:p>
    <w:p>
      <w:pPr>
        <w:pStyle w:val="0"/>
        <w:jc w:val="center"/>
        <w:rPr>
          <w:rFonts w:hint="eastAsia" w:ascii="ＭＳ 明朝" w:hAnsi="ＭＳ 明朝" w:eastAsia="ＭＳ 明朝"/>
          <w:color w:val="000000"/>
          <w:sz w:val="24"/>
        </w:rPr>
      </w:pPr>
      <w:r>
        <w:rPr>
          <w:rFonts w:hint="eastAsia" w:ascii="ＭＳ 明朝" w:hAnsi="ＭＳ 明朝" w:eastAsia="ＭＳ 明朝"/>
          <w:b w:val="1"/>
          <w:color w:val="000000"/>
          <w:sz w:val="24"/>
        </w:rPr>
        <w:t>戸籍総合システム・ブックレス　クラウドサービス機器リース　契約約款</w:t>
      </w:r>
    </w:p>
    <w:p>
      <w:pPr>
        <w:pStyle w:val="0"/>
        <w:rPr>
          <w:rFonts w:hint="eastAsia" w:ascii="ＭＳ 明朝" w:hAnsi="ＭＳ 明朝" w:eastAsia="ＭＳ 明朝"/>
          <w:color w:val="000000"/>
          <w:sz w:val="24"/>
        </w:rPr>
      </w:pPr>
    </w:p>
    <w:p>
      <w:pPr>
        <w:pStyle w:val="0"/>
        <w:ind w:firstLine="218" w:firstLineChars="100"/>
        <w:rPr>
          <w:rFonts w:hint="eastAsia" w:ascii="ＭＳ 明朝" w:hAnsi="ＭＳ 明朝" w:eastAsia="ＭＳ 明朝"/>
          <w:color w:val="000000"/>
          <w:sz w:val="24"/>
        </w:rPr>
      </w:pPr>
      <w:r>
        <w:rPr>
          <w:rFonts w:hint="eastAsia" w:ascii="ＭＳ 明朝" w:hAnsi="ＭＳ 明朝" w:eastAsia="ＭＳ 明朝"/>
          <w:color w:val="000000"/>
          <w:sz w:val="24"/>
        </w:rPr>
        <w:t>（趣旨）</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第１条　本約款は、戸籍総合システム・ブックレス　クラウドサービス機器リース（以下「リース業務」という。）のリース契約履行に関し、必要な事項を定めるものとする。</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（業務仕様等）</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第２条　リース契約の業務仕様は、別添「戸籍総合システム・ブックレス　クラウドサービス機器リース　仕様書」（以下「仕様書」という。）のとおりとし、受注者は、仕様書に基づき、リース業務を履行しなければならない。</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発注者及び受注者は、仕様書に記載されたリース物品（以下「物品」という。）のリース契約に関し、本約款及び仕様書に従い、この契約（この約款及び仕様書を内容とする物品のリース契約をいう。以下同じ。）の履行にあたって適用される法令を遵守し、これを履行しなければならない。</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（契約保証金）</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第３条　受注者は、この契約の締結の際に契約保証金を納付しなければならない。ただし、発注者が、五所川原市契約規則（平成１７年五所川原市規則第５３号）第３３条の規定に基づき契約保証金の納付を免除した場合は、この限りでない。　</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前項の契約保証金の額は、賃料を一年間に換算した額の１００分の５以上としなければならない。</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（権利義務の譲渡等）</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第４条　発注者は、受注者の承諾がなければ、この契約により生ずるリース権を譲渡し、又は物品を転貸してはならない。</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受注者は、この契約によって生ずる権利又は義務を第三者に譲渡し、又は継承させてはならない。ただし、あらかじめ発注者の書面による承諾を得た場合は、この限りでない。</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（検査及び引渡し）</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第５条　受注者は、納入に際し、又は発注者の定める日時に立会いのうえ発注者の定める検査（以下「納品検査」という。）を受けなければならない。</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発注者は、納品検査を納入の日から起算して１０日以内に終えなければならない。</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３　発注者は、受注者が納品検査に立ち会わないときは、当該納品検査の結果について受注者の異議の申立てを認めないものとする。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４　発注者は、納品検査に合格したときは、受注者から物品の引渡しを受けるものとする。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５　受注者は、納品検査に合格しないときは、発注者の指示する期間内に良品との交換又は補修をしなければならない。この場合の交換又は補修後の納入については、前４項の規定を準用するものとする。</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（危険負担）</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第６条　前条第４項の引渡し（同条第５項で準用する場合を含む。以下「物品の引渡し」という。）の前に生じた物品の亡失、き損等は、すべて受注者の負担とする。</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（賃料の請求）</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第７条　受注者は、当該月分の賃料を翌月の１０日までに、発注者の指定する請求書により、発注者に対して請求するものとする。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（賃料の支払）</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第８条　発注者は、前条の規定により適法な請求を受けたときは、その日から起算して３０日以内に当該請求金額を受注者に対して支払うものとする。</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（物品の譲渡等の禁止）</w:t>
      </w:r>
      <w:r>
        <w:rPr>
          <w:rFonts w:hint="eastAsia" w:ascii="ＭＳ 明朝" w:hAnsi="ＭＳ 明朝" w:eastAsia="ＭＳ 明朝"/>
          <w:color w:val="000000"/>
          <w:sz w:val="24"/>
        </w:rPr>
        <w:t xml:space="preserve"> </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第９条　発注者は、物品を第三者に譲渡し、若しくは使用させ、又は受注者の所有権を侵害するような行為をしてはならない。ただし、受注者の承諾を得たときは、この限りでない。</w:t>
      </w:r>
      <w:r>
        <w:rPr>
          <w:rFonts w:hint="eastAsia" w:ascii="ＭＳ 明朝" w:hAnsi="ＭＳ 明朝" w:eastAsia="ＭＳ 明朝"/>
          <w:color w:val="000000"/>
          <w:sz w:val="24"/>
        </w:rPr>
        <w:t xml:space="preserve"> </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（物品の滅失又はき損）</w:t>
      </w:r>
      <w:r>
        <w:rPr>
          <w:rFonts w:hint="eastAsia" w:ascii="ＭＳ 明朝" w:hAnsi="ＭＳ 明朝" w:eastAsia="ＭＳ 明朝"/>
          <w:color w:val="000000"/>
          <w:sz w:val="24"/>
        </w:rPr>
        <w:t xml:space="preserve"> </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第１０条　発注者の過失により、返還までに生じた物品の滅失又はき損については、発注者がその費用を負担するものとする。ただし、通常の損耗及び減耗は、この限りでない。</w:t>
      </w:r>
      <w:r>
        <w:rPr>
          <w:rFonts w:hint="eastAsia" w:ascii="ＭＳ 明朝" w:hAnsi="ＭＳ 明朝" w:eastAsia="ＭＳ 明朝"/>
          <w:color w:val="000000"/>
          <w:sz w:val="24"/>
        </w:rPr>
        <w:t xml:space="preserve"> </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前項の規定にかかわらず、物品の滅失又はき損の原因が天災その他発注者受注者双方の責めに帰すことができないものであるときは、発注者と受注者とが協議して損害の負担について定めるものとする。</w:t>
      </w:r>
      <w:r>
        <w:rPr>
          <w:rFonts w:hint="eastAsia" w:ascii="ＭＳ 明朝" w:hAnsi="ＭＳ 明朝" w:eastAsia="ＭＳ 明朝"/>
          <w:color w:val="000000"/>
          <w:sz w:val="24"/>
        </w:rPr>
        <w:t xml:space="preserve"> </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（物品の調査）</w:t>
      </w:r>
      <w:r>
        <w:rPr>
          <w:rFonts w:hint="eastAsia" w:ascii="ＭＳ 明朝" w:hAnsi="ＭＳ 明朝" w:eastAsia="ＭＳ 明朝"/>
          <w:color w:val="000000"/>
          <w:sz w:val="24"/>
        </w:rPr>
        <w:t xml:space="preserve"> </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第１１条</w:t>
      </w:r>
      <w:r>
        <w:rPr>
          <w:rFonts w:hint="eastAsia" w:ascii="ＭＳ 明朝" w:hAnsi="ＭＳ 明朝" w:eastAsia="ＭＳ 明朝"/>
          <w:color w:val="000000"/>
          <w:sz w:val="24"/>
        </w:rPr>
        <w:t xml:space="preserve"> </w:t>
      </w:r>
      <w:r>
        <w:rPr>
          <w:rFonts w:hint="eastAsia" w:ascii="ＭＳ 明朝" w:hAnsi="ＭＳ 明朝" w:eastAsia="ＭＳ 明朝"/>
          <w:color w:val="000000"/>
          <w:sz w:val="24"/>
        </w:rPr>
        <w:t>受注者は、リース期間中、発注者の承諾を得て、物品の設置場所に立ち入り、物品の現状及び保管状況を調査することができる。</w:t>
      </w:r>
      <w:r>
        <w:rPr>
          <w:rFonts w:hint="eastAsia" w:ascii="ＭＳ 明朝" w:hAnsi="ＭＳ 明朝" w:eastAsia="ＭＳ 明朝"/>
          <w:color w:val="000000"/>
          <w:sz w:val="24"/>
        </w:rPr>
        <w:t xml:space="preserve"> </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（物品の返還）</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第１２条　リース期間が満了、又はこの契約を解除したときは、発注者は、物品を速やかに受注者に引き渡さなければならない。</w:t>
      </w:r>
      <w:r>
        <w:rPr>
          <w:rFonts w:hint="eastAsia" w:ascii="ＭＳ 明朝" w:hAnsi="ＭＳ 明朝" w:eastAsia="ＭＳ 明朝"/>
          <w:color w:val="000000"/>
          <w:sz w:val="24"/>
        </w:rPr>
        <w:t xml:space="preserve"> </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（履行遅滞の場合における違約金等）</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第１３条　受注者の責めに帰する理由により、物品引渡し期日までに物品の納入ができない場合には、受注者は、発注者に対して違約金を支払わなければならない。</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前項の違約金の額は、賃料を一年間に換算した額につき、納入期限の翌日から納品検査（第５条第５項で準用する場合を含む。）に合格した日までの日数に応じ、契約締結の日において適用される政府契約の支払遅延防止等に関する法律（昭和２４年法律第２５６号）第８条第１項の規定に基づき政府契約の支払遅延に対する遅延利息の率を定める件（昭和２４年１２月大蔵省告示第９９１号）において定める割合（以下「違約金算定率」という。）で計算した額（１００円未満の端数があるとき又は１００円未満であるときは、その端数額又はその全額を切り捨てる。）とする。ただし、遅延日数は、当該納品検査に要した日数を除くものとする。</w:t>
      </w:r>
    </w:p>
    <w:p>
      <w:pPr>
        <w:pStyle w:val="0"/>
        <w:tabs>
          <w:tab w:val="center" w:leader="none" w:pos="360"/>
        </w:tabs>
        <w:ind w:left="0" w:leftChars="0" w:right="46" w:rightChars="0" w:hanging="218" w:hangingChars="100"/>
        <w:rPr>
          <w:rFonts w:hint="eastAsia" w:ascii="ＭＳ 明朝" w:hAnsi="ＭＳ 明朝" w:eastAsia="ＭＳ 明朝"/>
          <w:color w:val="000000"/>
          <w:sz w:val="24"/>
          <w:highlight w:val="none"/>
        </w:rPr>
      </w:pPr>
      <w:r>
        <w:rPr>
          <w:rFonts w:hint="eastAsia" w:ascii="ＭＳ 明朝" w:hAnsi="ＭＳ 明朝" w:eastAsia="ＭＳ 明朝"/>
          <w:color w:val="000000"/>
          <w:sz w:val="24"/>
          <w:highlight w:val="none"/>
        </w:rPr>
        <w:t>３　発注者の責めに帰する理由により、第７条に規定する支払が遅れたときは、受注者は、支払期限の翌日から起算し、遅延日数１日について、違約金算定率で計算した額の遅延利息の支払を発注者に請求することができる。</w:t>
      </w:r>
    </w:p>
    <w:p>
      <w:pPr>
        <w:pStyle w:val="0"/>
        <w:tabs>
          <w:tab w:val="center" w:leader="none" w:pos="360"/>
        </w:tabs>
        <w:ind w:left="208" w:leftChars="50" w:right="46" w:rightChars="0" w:hanging="109" w:hangingChars="50"/>
        <w:rPr>
          <w:rFonts w:hint="eastAsia" w:ascii="ＭＳ 明朝" w:hAnsi="ＭＳ 明朝" w:eastAsia="ＭＳ 明朝"/>
          <w:color w:val="000000"/>
          <w:sz w:val="24"/>
        </w:rPr>
      </w:pPr>
      <w:r>
        <w:rPr>
          <w:rFonts w:hint="eastAsia" w:ascii="ＭＳ 明朝" w:hAnsi="ＭＳ 明朝" w:eastAsia="ＭＳ 明朝"/>
          <w:color w:val="000000"/>
          <w:sz w:val="24"/>
        </w:rPr>
        <w:t>（契約の解除）</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第１４条　発注者は、受注者が次の各号のいずれかに該当するときは、この契約を解除することができる。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（１）契約期間内に履行の見込みがないと認められるに至ったとき。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（２）この契約に違反し、その違反により契約の目的を達成することができないと認められるとき。</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発注者は、前項に規定する場合のほか、受注者（第１号から第５号までに掲げる場合にあっては、受注者又はその支配人（受注者が法人の場合にあっては、受注者又はその役員若しくはその支店の代表者））が次の各号のいずれかに該当するときは、この契約を解除することができる。</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（１）暴力団員（暴力団員による不当な行為の防止等に関する法律（平成３年法律第７７号）第２条第６号に規定する暴力団員をいう。第５号及び第６号において同じ。）であると認められるとき。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２）自己若しくは第三者の不正な利益を図り又は第三者に損害を与える目的で暴力団（暴力団員による不当な行為の防止等に関する法律第２条第２号に規定する暴力団をいう。以下この項において同じ。）の威力を利用したと認められる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３）暴力団の威力を利用する目的で金品その他財産上の利益の供与（以下この号及び次号において「金品等の供与」という。）をし、又は暴力団の活動若しくは運営を支援する目的で相当の対価を得ない金品等の供与をしたと認められる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（４）正当な理由がある場合を除き、暴力団の活動を助長し、又は暴力団の運営に資することとなることを知りながら金品等の供与をしたと認められるとき。</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（５）暴力団員と交際していると認められるとき。</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（６）暴力団又は暴力団員が実質的に経営に関与していると認められるとき。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（７）その者又はその支配人（その者が法人の場合にあっては、その者又はその役員若しくはその支店の代表者）が第</w:t>
      </w:r>
      <w:r>
        <w:rPr>
          <w:rFonts w:hint="eastAsia" w:ascii="ＭＳ 明朝" w:hAnsi="ＭＳ 明朝" w:eastAsia="ＭＳ 明朝"/>
          <w:color w:val="000000"/>
          <w:sz w:val="24"/>
        </w:rPr>
        <w:t>1</w:t>
      </w:r>
      <w:r>
        <w:rPr>
          <w:rFonts w:hint="eastAsia" w:ascii="ＭＳ 明朝" w:hAnsi="ＭＳ 明朝" w:eastAsia="ＭＳ 明朝"/>
          <w:color w:val="000000"/>
          <w:sz w:val="24"/>
        </w:rPr>
        <w:t>号から前号までのいずれかに該当することを知りながら当該者と下請契約又は物品の売買契約その他の契約を締結したと認められるとき。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８）第１号から第６号までのいずれかに該当する者を相手方とする下請契約又は物品の売買契約その他の契約（前号に該当する場合の当該契約を除く。）について、発注者が求めた当該契約の解除に従わなかったとき。</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第１５条　発注者は、前条に規定する場合のほか、この契約に関して、次の各号のいずれかに該当するときは、契約を解除することができる。</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１）私的独占の禁止及び公正取引の確保に関する法律（昭和２２年法律第５４号。以下この条において「独占禁止法」という。）第４９条に規定する排除措置命令において受注者又は受注者を構成員に含む事業者団体（以下この号及び次号において「受注者等」という。）に独占禁止法第３条又は第８条第</w:t>
      </w:r>
      <w:r>
        <w:rPr>
          <w:rFonts w:hint="eastAsia" w:ascii="ＭＳ 明朝" w:hAnsi="ＭＳ 明朝" w:eastAsia="ＭＳ 明朝"/>
          <w:color w:val="000000"/>
          <w:sz w:val="24"/>
        </w:rPr>
        <w:t>1</w:t>
      </w:r>
      <w:r>
        <w:rPr>
          <w:rFonts w:hint="eastAsia" w:ascii="ＭＳ 明朝" w:hAnsi="ＭＳ 明朝" w:eastAsia="ＭＳ 明朝"/>
          <w:color w:val="000000"/>
          <w:sz w:val="24"/>
        </w:rPr>
        <w:t>号の規定に違反する行為があったとされている場合において、受注者等に対する当該排除措置命令が確定したとき（受注者が当該排除措置命令の名宛人となっていない場合にあっては、当該排除措置命令の名宛人に対する当該排除措置命令の全てが確定した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２）独占禁止法第６２条第１項に規定する納付命令において受注者等に独占禁止法第３条又は第８条第１号の規定に違反する行為があったとされている場合において、受注者に対する当該納付命令が確定したとき（受注者が当該納付命令の名宛人となっていない場合にあっては、当該納付命令の名宛人に対する当該納付命令の全てが確定した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（３）受注者が、公正取引委員会から受けた排除措置命令又は納付命令について抗告訴訟を提起した場合において、その訴えについての請求を棄却し、又は訴えを却下する裁判が確定したとき。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４）受注者又は受注者の代理人、使用人その他の従業者（受注者が法人の場合にあっては、その代表者又はその代理人、使用人その他の従業者）が刑法（明治４０年法律第４５号）第９６条の６若しくは第１９８条の罪又は独占禁止法第８９条の罪を犯し、刑に処せられたとき。</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第１６条　発注者は、リース契約が満了しない間は、前２条に規定する場合のほか、必要があるときは、この契約を解除することができる。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発注者は、前項の規定によりこの契約を解除したことにより受注者に損害を及ぼしたときは、その損害を賠償しなければならない。この場合における賠償額は、発注者と受注者とが協議して定める。</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（違約金）</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第１７条　発注者は、次の各号のいずれかに該当するときは、賃料を一年間に換算した額の１００分の５に相当する金額（その額に１００円未満の端数があるときは、その端数を切り捨てた額）を違約金として、受注者から徴収す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（１）第１４条又は第１５条の規定によりこの契約を解除したとき。</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（２）受注者がその債務の履行を拒否し、又は受注者の責めに帰すべき事由によって受注者の債務について履行不能となったとき。</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次に掲げる者がこの契約を解除した場合は、前項第２号に該当する場合とみなす。</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（１）受注者について破産法（平成１６年法律第７５号）の規定により破産手続開始の決定があった場合における同法の破産管財人</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（２）受注者について会社更生法（平成１４年法律第１５４号）の規定により更生手続開始の決定があった場合における同法の管財人</w:t>
      </w:r>
    </w:p>
    <w:p>
      <w:pPr>
        <w:pStyle w:val="0"/>
        <w:tabs>
          <w:tab w:val="center" w:leader="none" w:pos="360"/>
        </w:tabs>
        <w:ind w:left="0" w:leftChars="0" w:right="46" w:rightChars="0" w:hanging="436" w:hangingChars="200"/>
        <w:rPr>
          <w:rFonts w:hint="eastAsia" w:ascii="ＭＳ 明朝" w:hAnsi="ＭＳ 明朝" w:eastAsia="ＭＳ 明朝"/>
          <w:color w:val="000000"/>
          <w:sz w:val="24"/>
        </w:rPr>
      </w:pPr>
      <w:r>
        <w:rPr>
          <w:rFonts w:hint="eastAsia" w:ascii="ＭＳ 明朝" w:hAnsi="ＭＳ 明朝" w:eastAsia="ＭＳ 明朝"/>
          <w:color w:val="000000"/>
          <w:sz w:val="24"/>
        </w:rPr>
        <w:t>（３）受注者について民事再生法（平成１１年法律第２２５号）の規定により再生手続開始の決定があった場合における同法の再生債務者等</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３　第</w:t>
      </w:r>
      <w:r>
        <w:rPr>
          <w:rFonts w:hint="eastAsia" w:ascii="ＭＳ 明朝" w:hAnsi="ＭＳ 明朝" w:eastAsia="ＭＳ 明朝"/>
          <w:color w:val="000000"/>
          <w:sz w:val="24"/>
        </w:rPr>
        <w:t>1</w:t>
      </w:r>
      <w:r>
        <w:rPr>
          <w:rFonts w:hint="eastAsia" w:ascii="ＭＳ 明朝" w:hAnsi="ＭＳ 明朝" w:eastAsia="ＭＳ 明朝"/>
          <w:color w:val="000000"/>
          <w:sz w:val="24"/>
        </w:rPr>
        <w:t>項の場合（第１４条第２項及び第１５条の規定により、この契約が解除された場合を除く。）において、第３</w:t>
      </w:r>
      <w:bookmarkStart w:id="2" w:name="_GoBack"/>
      <w:bookmarkEnd w:id="2"/>
      <w:r>
        <w:rPr>
          <w:rFonts w:hint="eastAsia" w:ascii="ＭＳ 明朝" w:hAnsi="ＭＳ 明朝" w:eastAsia="ＭＳ 明朝"/>
          <w:color w:val="000000"/>
          <w:sz w:val="24"/>
        </w:rPr>
        <w:t>条第１項の措置が講じられているときは、発注者は契約保証金又は契約保証金の納付に代わる担保をもって第</w:t>
      </w:r>
      <w:r>
        <w:rPr>
          <w:rFonts w:hint="eastAsia" w:ascii="ＭＳ 明朝" w:hAnsi="ＭＳ 明朝" w:eastAsia="ＭＳ 明朝"/>
          <w:color w:val="000000"/>
          <w:sz w:val="24"/>
        </w:rPr>
        <w:t>1</w:t>
      </w:r>
      <w:r>
        <w:rPr>
          <w:rFonts w:hint="eastAsia" w:ascii="ＭＳ 明朝" w:hAnsi="ＭＳ 明朝" w:eastAsia="ＭＳ 明朝"/>
          <w:color w:val="000000"/>
          <w:sz w:val="24"/>
        </w:rPr>
        <w:t>項の違約金に充当することができる。</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（損害賠償）</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第１８条　発注者は、第１４条の規定によりこの契約を解除した場合又は前条第２項各号に掲げる者によりこの契約が解除された場合において、同条の違約金の額を超えた金額の損害が生じたときは、その超えた金額を損害賠償金として受注者から徴収す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第１９条　発注者は、この契約に関して、第１５条各号のいずれかに該当するときは、委託料の１００分の２０に相当する金額（その額に１００円未満の端数があるときは、その端数を切り捨てた額）を損害賠償金として、受注者から徴収する。</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（契約保証金の返還等）</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第２０条　発注者は、賃貸借期間が満了したときは、契約保証金を返還しなければならない。</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（紛争の解決）</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第２１条　この契約に関して発注者と受注者との間に紛争を生じた場合には、発注者と受注者とが協議して紛争の解決を図るものとする。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２　前項の協議が整わない場合、この契約に関する一切の紛争に関しては、発注者の所在地を管轄とする裁判所を管轄裁判所とする。</w:t>
      </w:r>
    </w:p>
    <w:p>
      <w:pPr>
        <w:pStyle w:val="0"/>
        <w:tabs>
          <w:tab w:val="center" w:leader="none" w:pos="360"/>
        </w:tabs>
        <w:ind w:left="198" w:leftChars="100" w:right="46" w:rightChars="0" w:firstLine="0" w:firstLineChars="0"/>
        <w:rPr>
          <w:rFonts w:hint="eastAsia" w:ascii="ＭＳ 明朝" w:hAnsi="ＭＳ 明朝" w:eastAsia="ＭＳ 明朝"/>
          <w:color w:val="000000"/>
          <w:sz w:val="24"/>
        </w:rPr>
      </w:pPr>
      <w:r>
        <w:rPr>
          <w:rFonts w:hint="eastAsia" w:ascii="ＭＳ 明朝" w:hAnsi="ＭＳ 明朝" w:eastAsia="ＭＳ 明朝"/>
          <w:color w:val="000000"/>
          <w:sz w:val="24"/>
        </w:rPr>
        <w:t>（その他の協議事項）</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r>
        <w:rPr>
          <w:rFonts w:hint="eastAsia" w:ascii="ＭＳ 明朝" w:hAnsi="ＭＳ 明朝" w:eastAsia="ＭＳ 明朝"/>
          <w:color w:val="000000"/>
          <w:sz w:val="24"/>
        </w:rPr>
        <w:t>第２２条　この契約書に定めのない事項及び疑義の生じた事項については、発注者と受注者とが協議のうえ定めるものとする。</w:t>
      </w:r>
    </w:p>
    <w:p>
      <w:pPr>
        <w:pStyle w:val="0"/>
        <w:tabs>
          <w:tab w:val="center" w:leader="none" w:pos="360"/>
        </w:tabs>
        <w:ind w:left="0" w:leftChars="0" w:right="46" w:rightChars="0" w:hanging="218" w:hangingChars="100"/>
        <w:rPr>
          <w:rFonts w:hint="eastAsia" w:ascii="ＭＳ 明朝" w:hAnsi="ＭＳ 明朝" w:eastAsia="ＭＳ 明朝"/>
          <w:color w:val="000000"/>
          <w:sz w:val="24"/>
        </w:rPr>
      </w:pPr>
    </w:p>
    <w:p>
      <w:pPr>
        <w:pStyle w:val="0"/>
        <w:rPr>
          <w:rFonts w:hint="eastAsia" w:ascii="ＭＳ 明朝" w:hAnsi="ＭＳ 明朝" w:eastAsia="ＭＳ 明朝"/>
          <w:sz w:val="24"/>
        </w:rPr>
      </w:pPr>
    </w:p>
    <w:sectPr>
      <w:headerReference r:id="rId5" w:type="default"/>
      <w:footerReference r:id="rId6" w:type="default"/>
      <w:pgSz w:w="11907" w:h="16840"/>
      <w:pgMar w:top="1134" w:right="1134" w:bottom="1134" w:left="1134" w:header="850" w:footer="992" w:gutter="0"/>
      <w:cols w:space="720"/>
      <w:textDirection w:val="lrTb"/>
      <w:docGrid w:type="linesAndChars" w:linePitch="338" w:charSpace="-450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w:panose1 w:val="00000000000000000000"/>
    <w:charset w:val="80"/>
    <w:family w:val="swiss"/>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8"/>
      <w:jc w:val="right"/>
      <w:rPr>
        <w:rFonts w:hint="default" w:ascii="ＭＳ 明朝" w:hAnsi="ＭＳ 明朝"/>
        <w:sz w:val="20"/>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jc w:val="center"/>
      <w:rPr>
        <w:rFonts w:hint="eastAsia"/>
      </w:rPr>
    </w:pPr>
    <w:r>
      <w:rPr>
        <w:rFonts w:hint="eastAsia"/>
        <w:b w:val="1"/>
        <w:sz w:val="32"/>
      </w:rPr>
      <w:t>（案）</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cumentProtection w:edit="trackedChanges" w:enforcement="0"/>
  <w:defaultTabStop w:val="960"/>
  <w:drawingGridHorizontalSpacing w:val="96"/>
  <w:drawingGridVerticalSpacing w:val="169"/>
  <w:displayHorizontalDrawingGridEvery w:val="2"/>
  <w:displayVerticalDrawingGridEvery w:val="2"/>
  <w:characterSpacingControl w:val="compressPunctuation"/>
  <w:noLineBreaksAfter w:lang="ja-JP" w:val="$([\{‘“〈《「『【〔＄（［｛｢￡￥"/>
  <w:noLineBreaksBefore w:lang="ja-JP" w:val="!%),.:;?]}°’”‰′″℃、。々〉》」』】〕゛゜ゝゞ・ヽヾ！％），．：；？］｝｡｣､･ﾞﾟ￠"/>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snapToGrid w:val="0"/>
        <w:sz w:val="22"/>
      </w:rPr>
    </w:rPrDefault>
    <w:pPrDefault/>
  </w:docDefaults>
  <w:style w:type="paragraph" w:styleId="0" w:default="1">
    <w:name w:val="Normal"/>
    <w:next w:val="0"/>
    <w:link w:val="0"/>
    <w:uiPriority w:val="0"/>
    <w:qFormat/>
    <w:pPr>
      <w:widowControl w:val="0"/>
      <w:adjustRightInd w:val="0"/>
      <w:jc w:val="both"/>
      <w:textAlignment w:val="baseline"/>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annotation reference"/>
    <w:next w:val="15"/>
    <w:link w:val="0"/>
    <w:uiPriority w:val="0"/>
    <w:semiHidden/>
    <w:rPr>
      <w:sz w:val="18"/>
    </w:rPr>
  </w:style>
  <w:style w:type="paragraph" w:styleId="16">
    <w:name w:val="annotation text"/>
    <w:basedOn w:val="0"/>
    <w:next w:val="16"/>
    <w:link w:val="25"/>
    <w:uiPriority w:val="0"/>
    <w:semiHidden/>
    <w:pPr>
      <w:jc w:val="left"/>
    </w:pPr>
  </w:style>
  <w:style w:type="paragraph" w:styleId="17">
    <w:name w:val="header"/>
    <w:basedOn w:val="0"/>
    <w:next w:val="17"/>
    <w:link w:val="0"/>
    <w:uiPriority w:val="0"/>
    <w:pPr>
      <w:tabs>
        <w:tab w:val="center" w:leader="none" w:pos="4252"/>
        <w:tab w:val="right" w:leader="none" w:pos="8504"/>
      </w:tabs>
      <w:spacing w:line="360" w:lineRule="auto"/>
    </w:pPr>
    <w:rPr>
      <w:sz w:val="18"/>
    </w:rPr>
  </w:style>
  <w:style w:type="paragraph" w:styleId="18">
    <w:name w:val="footer"/>
    <w:basedOn w:val="0"/>
    <w:next w:val="18"/>
    <w:link w:val="0"/>
    <w:uiPriority w:val="0"/>
    <w:pPr>
      <w:tabs>
        <w:tab w:val="center" w:leader="none" w:pos="4252"/>
        <w:tab w:val="right" w:leader="none" w:pos="8504"/>
      </w:tabs>
      <w:spacing w:line="360" w:lineRule="auto"/>
    </w:pPr>
    <w:rPr>
      <w:sz w:val="18"/>
    </w:rPr>
  </w:style>
  <w:style w:type="character" w:styleId="19">
    <w:name w:val="page number"/>
    <w:basedOn w:val="10"/>
    <w:next w:val="19"/>
    <w:link w:val="0"/>
    <w:uiPriority w:val="0"/>
  </w:style>
  <w:style w:type="paragraph" w:styleId="20">
    <w:name w:val="Balloon Text"/>
    <w:basedOn w:val="0"/>
    <w:next w:val="20"/>
    <w:link w:val="21"/>
    <w:uiPriority w:val="0"/>
    <w:semiHidden/>
    <w:rPr>
      <w:rFonts w:ascii="Arial" w:hAnsi="Arial" w:eastAsia="ＭＳ ゴシック"/>
      <w:sz w:val="18"/>
    </w:rPr>
  </w:style>
  <w:style w:type="character" w:styleId="21" w:customStyle="1">
    <w:name w:val="吹き出し (文字)"/>
    <w:next w:val="21"/>
    <w:link w:val="20"/>
    <w:uiPriority w:val="0"/>
    <w:rPr>
      <w:rFonts w:ascii="Arial" w:hAnsi="Arial" w:eastAsia="ＭＳ ゴシック"/>
      <w:spacing w:val="14"/>
      <w:sz w:val="18"/>
    </w:rPr>
  </w:style>
  <w:style w:type="paragraph" w:styleId="22">
    <w:name w:val="Body Text 2"/>
    <w:basedOn w:val="0"/>
    <w:next w:val="22"/>
    <w:link w:val="23"/>
    <w:uiPriority w:val="0"/>
    <w:pPr>
      <w:tabs>
        <w:tab w:val="decimal" w:leader="none" w:pos="-2694"/>
        <w:tab w:val="left" w:leader="none" w:pos="3119"/>
        <w:tab w:val="left" w:leader="none" w:pos="4820"/>
      </w:tabs>
      <w:spacing w:line="240" w:lineRule="atLeast"/>
      <w:ind w:right="6"/>
    </w:pPr>
    <w:rPr>
      <w:rFonts w:ascii="ＭＳ 明朝" w:hAnsi="ＭＳ 明朝"/>
      <w:color w:val="0000FF"/>
    </w:rPr>
  </w:style>
  <w:style w:type="character" w:styleId="23" w:customStyle="1">
    <w:name w:val="本文 2 (文字)"/>
    <w:next w:val="23"/>
    <w:link w:val="22"/>
    <w:uiPriority w:val="0"/>
    <w:rPr>
      <w:rFonts w:ascii="ＭＳ 明朝" w:hAnsi="ＭＳ 明朝"/>
      <w:color w:val="0000FF"/>
      <w:sz w:val="22"/>
    </w:rPr>
  </w:style>
  <w:style w:type="paragraph" w:styleId="24">
    <w:name w:val="annotation subject"/>
    <w:basedOn w:val="16"/>
    <w:next w:val="16"/>
    <w:link w:val="26"/>
    <w:uiPriority w:val="0"/>
    <w:semiHidden/>
    <w:rPr>
      <w:b w:val="1"/>
    </w:rPr>
  </w:style>
  <w:style w:type="character" w:styleId="25" w:customStyle="1">
    <w:name w:val="コメント文字列 (文字)"/>
    <w:basedOn w:val="10"/>
    <w:next w:val="25"/>
    <w:link w:val="16"/>
    <w:uiPriority w:val="0"/>
    <w:rPr>
      <w:spacing w:val="14"/>
      <w:sz w:val="21"/>
    </w:rPr>
  </w:style>
  <w:style w:type="character" w:styleId="26" w:customStyle="1">
    <w:name w:val="コメント内容 (文字)"/>
    <w:basedOn w:val="25"/>
    <w:next w:val="26"/>
    <w:link w:val="24"/>
    <w:uiPriority w:val="0"/>
    <w:rPr>
      <w:b w:val="1"/>
      <w:spacing w:val="14"/>
      <w:sz w:val="21"/>
    </w:rPr>
  </w:style>
  <w:style w:type="paragraph" w:styleId="27">
    <w:name w:val="Revision"/>
    <w:next w:val="27"/>
    <w:link w:val="0"/>
    <w:uiPriority w:val="0"/>
    <w:rPr/>
  </w:style>
  <w:style w:type="paragraph" w:styleId="28" w:customStyle="1">
    <w:name w:val="Default"/>
    <w:next w:val="28"/>
    <w:link w:val="0"/>
    <w:uiPriority w:val="0"/>
    <w:pPr>
      <w:widowControl w:val="0"/>
      <w:autoSpaceDE w:val="0"/>
      <w:autoSpaceDN w:val="0"/>
      <w:adjustRightInd w:val="0"/>
    </w:pPr>
    <w:rPr>
      <w:rFonts w:ascii="ＭＳ" w:hAnsi="ＭＳ" w:eastAsia="ＭＳ"/>
      <w:color w:val="000000"/>
      <w:sz w:val="24"/>
    </w:rPr>
  </w:style>
  <w:style w:type="character" w:styleId="29">
    <w:name w:val="footnote reference"/>
    <w:basedOn w:val="10"/>
    <w:next w:val="29"/>
    <w:link w:val="0"/>
    <w:uiPriority w:val="0"/>
    <w:semiHidden/>
    <w:rPr>
      <w:vertAlign w:val="superscript"/>
    </w:rPr>
  </w:style>
  <w:style w:type="character" w:styleId="30">
    <w:name w:val="endnote reference"/>
    <w:basedOn w:val="10"/>
    <w:next w:val="3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218</TotalTime>
  <Pages>5</Pages>
  <Words>4</Words>
  <Characters>5412</Characters>
  <Application>JUST Note</Application>
  <Lines>208</Lines>
  <Paragraphs>95</Paragraphs>
  <CharactersWithSpaces>5591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2026-06-04T05:56:06Z</cp:lastPrinted>
  <dcterms:modified xsi:type="dcterms:W3CDTF">2026-07-07T00:59:27Z</dcterms:modified>
  <cp:revision>7</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0x010100EDD0ECE172EDB142B5548E7F6B1A64E700A835684894D5B04BB35F23BE100EB05D</vt:lpwstr>
  </property>
  <property fmtid="{D5CDD505-2E9C-101B-9397-08002B2CF9AE}" pid="3" name="MediaServiceImageTags">
    <vt:lpwstr/>
  </property>
  <property fmtid="{D5CDD505-2E9C-101B-9397-08002B2CF9AE}" pid="4" name="Order">
    <vt:r8>495600</vt:r8>
  </property>
  <property fmtid="{D5CDD505-2E9C-101B-9397-08002B2CF9AE}" pid="5" name="_dlc_DocIdItemGuid">
    <vt:lpwstr>ed81daec-c3c9-4280-8027-722d264e47a3</vt:lpwstr>
  </property>
</Properties>
</file>